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E" w14:textId="69B936C7" w:rsidR="00E45BD6" w:rsidRDefault="00785827">
      <w:r>
        <w:rPr>
          <w:b/>
        </w:rPr>
        <w:t xml:space="preserve">Bibliography </w:t>
      </w:r>
      <w:r w:rsidR="003F4075">
        <w:rPr>
          <w:b/>
        </w:rPr>
        <w:t xml:space="preserve">for CMSMC Archaeology Theory Foundational Lecture </w:t>
      </w:r>
    </w:p>
    <w:p w14:paraId="0000000F" w14:textId="77777777" w:rsidR="00E45BD6" w:rsidRDefault="00E45BD6"/>
    <w:p w14:paraId="45D84EA3" w14:textId="4FF40D0B" w:rsidR="001E0C97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Appadurai, Arjun, et al. The Social Life of </w:t>
      </w:r>
      <w:r w:rsidR="002C17C9"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Things:</w:t>
      </w: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Commodities in Cultural Perspective / Edited by Arjun Appadurai. Cambridge University Press, 1986.</w:t>
      </w:r>
    </w:p>
    <w:p w14:paraId="60A54E43" w14:textId="40B8566D" w:rsidR="00BB4E19" w:rsidRDefault="00BB4E19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64DA30D" w14:textId="21F061C4" w:rsidR="001E0C97" w:rsidRDefault="00BB4E19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4E19">
        <w:rPr>
          <w:rFonts w:ascii="Times New Roman" w:eastAsia="Times New Roman" w:hAnsi="Times New Roman" w:cs="Times New Roman"/>
          <w:sz w:val="24"/>
          <w:szCs w:val="24"/>
          <w:lang w:val="en-US"/>
        </w:rPr>
        <w:t>Atalay</w:t>
      </w:r>
      <w:proofErr w:type="spellEnd"/>
      <w:r w:rsidRPr="00BB4E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Sonya. "Indigenous Archaeology as Decolonizing Practice". American Indian Quarterly. University of Nebraska. 30 (3&amp;4): 280–310. doi:10.1353/aiq.2006.0015.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2006 </w:t>
      </w:r>
    </w:p>
    <w:p w14:paraId="1DE360FD" w14:textId="77777777" w:rsidR="00BB4E19" w:rsidRPr="00775A1C" w:rsidRDefault="00BB4E19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74E96A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Bentley, R. Alexander, et al. Handbook of Archaeological Theories. The Rowman &amp; Littlefield Publishing Group, 2008.</w:t>
      </w:r>
    </w:p>
    <w:p w14:paraId="0F2B4A1F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C74D19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Binford, Lewis R. “Archaeology as Anthropology.” American Antiquity, vol. 28, no. 2, 1962, pp. 217–225.</w:t>
      </w:r>
    </w:p>
    <w:p w14:paraId="1AE576A6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058B7A" w14:textId="4178B062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Binford, et al. </w:t>
      </w:r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In Pursuit of the </w:t>
      </w:r>
      <w:r w:rsidR="002C17C9"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Past:</w:t>
      </w:r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Decoding the Archaeological Record / Lewis R. Binford / with the Editorial Collaboration of John F. Cherry and Robin </w:t>
      </w:r>
      <w:proofErr w:type="spellStart"/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Torrence</w:t>
      </w:r>
      <w:proofErr w:type="spellEnd"/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/ [with a Foreword by Colin Renfrew]</w:t>
      </w: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 Thames and Hudson, 1983.</w:t>
      </w:r>
    </w:p>
    <w:p w14:paraId="1FC4CAF9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AB6B7A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Binford, Lewis R, and </w:t>
      </w: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Sabloff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Jeremy A. “Paradigms, Systematics, and Archaeology.” </w:t>
      </w:r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Journal of Anthropological Research</w:t>
      </w: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vol. 38, no. 2, 1982, pp. 137–153.</w:t>
      </w:r>
    </w:p>
    <w:p w14:paraId="5A4709ED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54A46F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Binford, Sally R. New Perspectives in Archaeology / Edited by Sally R. Binford and Lewis R. Binford. Aldine, 1968.</w:t>
      </w:r>
    </w:p>
    <w:p w14:paraId="34352046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23F146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Brauner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David R. Approaches to Material Culture Research for Historical Archaeologists / Compiled by David R. </w:t>
      </w: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Brauner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 2nd ed., Society for Historical Archaeology, 2000.</w:t>
      </w:r>
    </w:p>
    <w:p w14:paraId="7EEBEE15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198BF2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Fleming, Andrew. “Post-Processual Landscape Archaeology: </w:t>
      </w:r>
      <w:proofErr w:type="gram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Critique.” Cambridge Archaeological Journal, vol. 16, no. 3, 2006, pp. 267–280.</w:t>
      </w:r>
    </w:p>
    <w:p w14:paraId="3B1AA78B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9A572A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Gosden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Chris. “What Do Objects Want?” Journal of Archaeological Method and Theory, vol. 12, no. 3, 2005, pp. 193–211.</w:t>
      </w:r>
    </w:p>
    <w:p w14:paraId="240EADAB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293091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Hegmon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Michelle. “Setting Theoretical Egos Aside: Issues and Theory in North American Archaeology.” American Antiquity, vol. 68, no. 2, 2003, pp. 213–243.</w:t>
      </w:r>
    </w:p>
    <w:p w14:paraId="61391466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D07235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Hodder, Ian. “Human-Thing Entanglement: towards an Integrated Archaeological Perspective.” The Journal of the Royal Anthropological Institute, vol. 17, no. 1, 2011, pp. 154–177.</w:t>
      </w:r>
    </w:p>
    <w:p w14:paraId="08BA3D57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CFDD2A" w14:textId="5C26B5B9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Hodder, Ian. </w:t>
      </w:r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The Archaeological </w:t>
      </w:r>
      <w:r w:rsidR="002C17C9"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Process:</w:t>
      </w:r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an</w:t>
      </w:r>
      <w:proofErr w:type="gramEnd"/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Introduction / Ian Hodder.</w:t>
      </w: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Blackwell, 1999.</w:t>
      </w:r>
    </w:p>
    <w:p w14:paraId="206474B1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DD7B73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Hodder, Ian. New Directions in Archaeology. Cambridge University Press, 2010.</w:t>
      </w:r>
    </w:p>
    <w:p w14:paraId="73D5B9C0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43E5D2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Leone M. Symbolic, Structural and Critical Archaeology in American Archaeology Past and Future. Washington: Smithsonian Institution Press, 1986. pp. 425-438. </w:t>
      </w:r>
    </w:p>
    <w:p w14:paraId="6CD498DB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F8F528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Lyman, R. Lee, and O'Brien, Michael J. “The Goals of Evolutionary Archaeology.” Current Anthropology, vol. 39, no. 5, 1998, p. 615.</w:t>
      </w:r>
    </w:p>
    <w:p w14:paraId="13E1D314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6B6E0C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Meskell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Lynn. Archaeologies of Materiality / Edited by Lynn </w:t>
      </w: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Meskell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 Blackwell, 2006.</w:t>
      </w:r>
    </w:p>
    <w:p w14:paraId="09699CA7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AB616D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Miller, Daniel. Material Culture and Mass Consumption / Daniel Miller. Basil Blackwell, 1987.</w:t>
      </w:r>
    </w:p>
    <w:p w14:paraId="50C55343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1801D0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Miller, et al. Ideology, Power and Prehistory / Edited by Daniel Miller and Christopher Tilley. Cambridge University Press, 1984.</w:t>
      </w:r>
    </w:p>
    <w:p w14:paraId="5D0A658C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E695A8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Pauketat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T.R. &amp; </w:t>
      </w: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Meskell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Lynn. (2010). Changing theoretical directions in American archaeology. Voices in American Archaeology. 193-219</w:t>
      </w:r>
    </w:p>
    <w:p w14:paraId="13083A28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ABC834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Renfrew, Colin, et al. “What Is Cognitive Archaeology?” Cambridge Archaeological Journal, vol. 3, no. 2, 1993, pp. 247–270.</w:t>
      </w:r>
    </w:p>
    <w:p w14:paraId="022C4B29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4C1651" w14:textId="4FB7A0F5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Thomas, Julian. “The Future of Archaeological Theory.” Antiquity, vol. 89, no. 348, 2015, pp. 1287–1296.</w:t>
      </w:r>
    </w:p>
    <w:p w14:paraId="52A6B6D6" w14:textId="60C115CB" w:rsidR="005C06AA" w:rsidRPr="00775A1C" w:rsidRDefault="005C06AA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A6DF5B8" w14:textId="529CF822" w:rsidR="005C06AA" w:rsidRPr="00775A1C" w:rsidRDefault="005C06AA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Trigger, Bruce G. “Alternative Archaeologies: Nationalist, Colonialist, Imperialist.” </w:t>
      </w:r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</w:t>
      </w:r>
      <w:r w:rsidRPr="00775A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19, no. 3 (1984): 355. https://doi.org/10.2307/2802176. </w:t>
      </w:r>
    </w:p>
    <w:p w14:paraId="1A012B00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DB5613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Trigger, Bruce G. A History of Archaeological Thought / Bruce G. Trigger. 2nd ed., Cambridge University Press, 2006.</w:t>
      </w:r>
    </w:p>
    <w:p w14:paraId="2E81DDC9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263B6A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Trigger, Bruce G. “‘The Loss of Innocence’ in Historical Perspective.” Antiquity, vol. 72, no. 277, 1998, pp. 694–698.</w:t>
      </w:r>
    </w:p>
    <w:p w14:paraId="20C231B8" w14:textId="77777777" w:rsidR="001E0C97" w:rsidRPr="00775A1C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FA1C03" w14:textId="7D08C88D" w:rsidR="001E0C97" w:rsidRDefault="001E0C97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Wylie</w:t>
      </w:r>
      <w:r w:rsid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Alison</w:t>
      </w:r>
      <w:r w:rsidRPr="00775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 “The Reaction against Analogy.” Thinking from Things, University of California Press, 2002, p. 136.</w:t>
      </w:r>
    </w:p>
    <w:p w14:paraId="5502CE98" w14:textId="67BC8358" w:rsidR="00775A1C" w:rsidRDefault="00775A1C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607B6E9" w14:textId="7A945F9E" w:rsidR="00775A1C" w:rsidRPr="00775A1C" w:rsidRDefault="00775A1C" w:rsidP="001E0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A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White Deer, Gary. Nina </w:t>
      </w: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</w:rPr>
        <w:t>Swidler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</w:rPr>
        <w:t xml:space="preserve">; Kurt </w:t>
      </w: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</w:rPr>
        <w:t>Dongoske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</w:rPr>
        <w:t xml:space="preserve">; Roger </w:t>
      </w: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</w:rPr>
        <w:t>Anyon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</w:rPr>
        <w:t>; Alan Downer (eds.). "Return to the Sacred". </w:t>
      </w:r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Native Americans and Archaeologists: </w:t>
      </w:r>
      <w:proofErr w:type="gramStart"/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</w:rPr>
        <w:t>Stepping Stones</w:t>
      </w:r>
      <w:proofErr w:type="gramEnd"/>
      <w:r w:rsidRPr="00775A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Common Ground</w:t>
      </w:r>
      <w:r w:rsidRPr="00775A1C">
        <w:rPr>
          <w:rFonts w:ascii="Times New Roman" w:eastAsia="Times New Roman" w:hAnsi="Times New Roman" w:cs="Times New Roman"/>
          <w:sz w:val="24"/>
          <w:szCs w:val="24"/>
        </w:rPr>
        <w:t xml:space="preserve">. Walnut Creek: </w:t>
      </w:r>
      <w:proofErr w:type="spellStart"/>
      <w:r w:rsidRPr="00775A1C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775A1C">
        <w:rPr>
          <w:rFonts w:ascii="Times New Roman" w:eastAsia="Times New Roman" w:hAnsi="Times New Roman" w:cs="Times New Roman"/>
          <w:sz w:val="24"/>
          <w:szCs w:val="24"/>
        </w:rPr>
        <w:t xml:space="preserve"> Press: 37–43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1997. </w:t>
      </w:r>
    </w:p>
    <w:p w14:paraId="00000010" w14:textId="577C64B2" w:rsidR="00E45BD6" w:rsidRDefault="00E45BD6">
      <w:pPr>
        <w:rPr>
          <w:rFonts w:ascii="Times New Roman" w:hAnsi="Times New Roman" w:cs="Times New Roman"/>
          <w:b/>
          <w:sz w:val="24"/>
          <w:szCs w:val="24"/>
        </w:rPr>
      </w:pPr>
    </w:p>
    <w:p w14:paraId="5A2FF64D" w14:textId="77777777" w:rsidR="00775A1C" w:rsidRPr="00775A1C" w:rsidRDefault="00775A1C">
      <w:pPr>
        <w:rPr>
          <w:rFonts w:ascii="Times New Roman" w:hAnsi="Times New Roman" w:cs="Times New Roman"/>
          <w:b/>
          <w:sz w:val="24"/>
          <w:szCs w:val="24"/>
        </w:rPr>
      </w:pPr>
    </w:p>
    <w:p w14:paraId="00000011" w14:textId="6D5433E0" w:rsidR="00E45BD6" w:rsidRPr="00775A1C" w:rsidRDefault="00E45BD6">
      <w:pPr>
        <w:rPr>
          <w:rFonts w:ascii="Times New Roman" w:hAnsi="Times New Roman" w:cs="Times New Roman"/>
          <w:b/>
          <w:sz w:val="24"/>
          <w:szCs w:val="24"/>
        </w:rPr>
      </w:pPr>
    </w:p>
    <w:sectPr w:rsidR="00E45BD6" w:rsidRPr="00775A1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06B8" w14:textId="77777777" w:rsidR="00F11D2D" w:rsidRDefault="00F11D2D">
      <w:pPr>
        <w:spacing w:line="240" w:lineRule="auto"/>
      </w:pPr>
      <w:r>
        <w:separator/>
      </w:r>
    </w:p>
  </w:endnote>
  <w:endnote w:type="continuationSeparator" w:id="0">
    <w:p w14:paraId="2C07E989" w14:textId="77777777" w:rsidR="00F11D2D" w:rsidRDefault="00F11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633A" w14:textId="77777777" w:rsidR="00F11D2D" w:rsidRDefault="00F11D2D">
      <w:pPr>
        <w:spacing w:line="240" w:lineRule="auto"/>
      </w:pPr>
      <w:r>
        <w:separator/>
      </w:r>
    </w:p>
  </w:footnote>
  <w:footnote w:type="continuationSeparator" w:id="0">
    <w:p w14:paraId="156CDECF" w14:textId="77777777" w:rsidR="00F11D2D" w:rsidRDefault="00F11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054227D0" w:rsidR="00E45BD6" w:rsidRDefault="003F4075">
    <w:r>
      <w:rPr>
        <w:noProof/>
      </w:rPr>
      <w:drawing>
        <wp:anchor distT="0" distB="0" distL="114300" distR="114300" simplePos="0" relativeHeight="251658240" behindDoc="0" locked="0" layoutInCell="1" allowOverlap="1" wp14:anchorId="55FE01A5" wp14:editId="78FB9F69">
          <wp:simplePos x="0" y="0"/>
          <wp:positionH relativeFrom="column">
            <wp:posOffset>1314450</wp:posOffset>
          </wp:positionH>
          <wp:positionV relativeFrom="paragraph">
            <wp:posOffset>-142875</wp:posOffset>
          </wp:positionV>
          <wp:extent cx="3105150" cy="1743075"/>
          <wp:effectExtent l="0" t="0" r="0" b="0"/>
          <wp:wrapTopAndBottom/>
          <wp:docPr id="1026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8E10134-3D01-482C-82AF-4C61910CB6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8E10134-3D01-482C-82AF-4C61910CB6F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743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707"/>
    <w:multiLevelType w:val="multilevel"/>
    <w:tmpl w:val="40E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63114"/>
    <w:multiLevelType w:val="multilevel"/>
    <w:tmpl w:val="F64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D3AFE"/>
    <w:multiLevelType w:val="multilevel"/>
    <w:tmpl w:val="A76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22371"/>
    <w:multiLevelType w:val="hybridMultilevel"/>
    <w:tmpl w:val="B89CBA20"/>
    <w:lvl w:ilvl="0" w:tplc="08748FB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4A4F"/>
    <w:multiLevelType w:val="multilevel"/>
    <w:tmpl w:val="D69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D6"/>
    <w:rsid w:val="000E0203"/>
    <w:rsid w:val="001C5897"/>
    <w:rsid w:val="001E0C97"/>
    <w:rsid w:val="002C17C9"/>
    <w:rsid w:val="002F6C5F"/>
    <w:rsid w:val="003F4075"/>
    <w:rsid w:val="004804F5"/>
    <w:rsid w:val="005C06AA"/>
    <w:rsid w:val="00675BF4"/>
    <w:rsid w:val="00775A1C"/>
    <w:rsid w:val="00785827"/>
    <w:rsid w:val="00BB4E19"/>
    <w:rsid w:val="00DD5328"/>
    <w:rsid w:val="00E45BD6"/>
    <w:rsid w:val="00F07C22"/>
    <w:rsid w:val="00F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26EF"/>
  <w15:docId w15:val="{4889366C-0047-41DB-A7FA-71579AC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0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75"/>
  </w:style>
  <w:style w:type="paragraph" w:styleId="Footer">
    <w:name w:val="footer"/>
    <w:basedOn w:val="Normal"/>
    <w:link w:val="FooterChar"/>
    <w:uiPriority w:val="99"/>
    <w:unhideWhenUsed/>
    <w:rsid w:val="003F40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Hope Elizabeth</cp:lastModifiedBy>
  <cp:revision>2</cp:revision>
  <dcterms:created xsi:type="dcterms:W3CDTF">2021-08-13T15:22:00Z</dcterms:created>
  <dcterms:modified xsi:type="dcterms:W3CDTF">2021-08-13T15:22:00Z</dcterms:modified>
</cp:coreProperties>
</file>